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E6204">
      <w:pPr>
        <w:widowControl w:val="0"/>
        <w:tabs>
          <w:tab w:val="left" w:pos="8789"/>
        </w:tabs>
        <w:adjustRightInd w:val="0"/>
        <w:spacing w:line="1660" w:lineRule="exact"/>
        <w:ind w:right="632" w:rightChars="200" w:firstLine="0" w:firstLineChars="0"/>
        <w:jc w:val="center"/>
        <w:rPr>
          <w:rFonts w:ascii="方正小标宋简体" w:hAnsi="黑体" w:eastAsia="方正小标宋简体"/>
          <w:color w:val="CC0000"/>
          <w:spacing w:val="-20"/>
          <w:w w:val="60"/>
          <w:kern w:val="2"/>
          <w:sz w:val="148"/>
          <w:szCs w:val="148"/>
        </w:rPr>
      </w:pPr>
      <w:r>
        <w:rPr>
          <w:rFonts w:hint="eastAsia" w:ascii="方正小标宋简体" w:hAnsi="黑体" w:eastAsia="方正小标宋简体"/>
          <w:color w:val="CC0000"/>
          <w:spacing w:val="-20"/>
          <w:w w:val="60"/>
          <w:kern w:val="2"/>
          <w:sz w:val="148"/>
          <w:szCs w:val="148"/>
        </w:rPr>
        <w:t>咸丰县人民法院文件</w:t>
      </w:r>
    </w:p>
    <w:p w14:paraId="447304C0">
      <w:pPr>
        <w:widowControl w:val="0"/>
        <w:spacing w:line="360" w:lineRule="auto"/>
        <w:ind w:firstLine="0" w:firstLineChars="0"/>
        <w:jc w:val="center"/>
        <w:rPr>
          <w:rFonts w:ascii="仿宋_GB2312" w:hAnsi="宋体"/>
          <w:kern w:val="2"/>
        </w:rPr>
      </w:pPr>
    </w:p>
    <w:p w14:paraId="0B8A16AA">
      <w:pPr>
        <w:widowControl w:val="0"/>
        <w:spacing w:line="360" w:lineRule="auto"/>
        <w:ind w:firstLine="0" w:firstLineChars="0"/>
        <w:jc w:val="center"/>
        <w:rPr>
          <w:rFonts w:ascii="仿宋_GB2312" w:hAnsi="宋体"/>
          <w:kern w:val="2"/>
        </w:rPr>
      </w:pPr>
      <w:r>
        <w:rPr>
          <w:rFonts w:hint="eastAsia" w:ascii="仿宋_GB2312" w:hAnsi="宋体"/>
          <w:kern w:val="2"/>
        </w:rPr>
        <w:t>咸法发〔</w:t>
      </w:r>
      <w:r>
        <w:rPr>
          <w:rFonts w:ascii="仿宋_GB2312" w:hAnsi="宋体"/>
          <w:kern w:val="2"/>
        </w:rPr>
        <w:t>20</w:t>
      </w:r>
      <w:r>
        <w:rPr>
          <w:rFonts w:hint="eastAsia" w:ascii="仿宋_GB2312" w:hAnsi="宋体"/>
          <w:kern w:val="2"/>
        </w:rPr>
        <w:t>21〕2号</w:t>
      </w:r>
    </w:p>
    <w:p w14:paraId="4B943439">
      <w:pPr>
        <w:shd w:val="clear" w:color="auto" w:fill="FFFFFF"/>
        <w:spacing w:line="420" w:lineRule="exact"/>
        <w:ind w:firstLine="640" w:firstLineChars="0"/>
        <w:rPr>
          <w:rFonts w:ascii="黑体" w:hAnsi="黑体" w:eastAsia="黑体"/>
          <w:sz w:val="44"/>
          <w:szCs w:val="44"/>
        </w:rPr>
      </w:pPr>
      <w:r>
        <w:pict>
          <v:line id="_x0000_s2053" o:spid="_x0000_s2053" o:spt="20" style="position:absolute;left:0pt;margin-left:0.05pt;margin-top:4.25pt;height:0pt;width:417.7pt;z-index:251659264;mso-width-relative:page;mso-height-relative:page;" stroked="t" coordsize="21600,21600">
            <v:path arrowok="t"/>
            <v:fill focussize="0,0"/>
            <v:stroke weight="1.5pt" color="#FF0000"/>
            <v:imagedata o:title=""/>
            <o:lock v:ext="edit"/>
          </v:line>
        </w:pict>
      </w:r>
    </w:p>
    <w:p w14:paraId="0FA45EF4">
      <w:pPr>
        <w:spacing w:line="560" w:lineRule="exact"/>
        <w:ind w:firstLine="0" w:firstLineChars="0"/>
        <w:jc w:val="center"/>
        <w:rPr>
          <w:rFonts w:ascii="黑体" w:hAnsi="黑体" w:eastAsia="黑体"/>
          <w:sz w:val="44"/>
          <w:szCs w:val="44"/>
        </w:rPr>
      </w:pPr>
    </w:p>
    <w:p w14:paraId="2FDB6DDD">
      <w:pPr>
        <w:spacing w:line="560" w:lineRule="exact"/>
        <w:ind w:firstLine="0" w:firstLineChars="0"/>
        <w:jc w:val="center"/>
        <w:rPr>
          <w:rFonts w:ascii="黑体" w:hAnsi="黑体" w:eastAsia="黑体"/>
          <w:sz w:val="44"/>
          <w:szCs w:val="44"/>
        </w:rPr>
      </w:pPr>
      <w:r>
        <w:rPr>
          <w:rFonts w:hint="eastAsia" w:ascii="黑体" w:hAnsi="黑体" w:eastAsia="黑体"/>
          <w:sz w:val="44"/>
          <w:szCs w:val="44"/>
        </w:rPr>
        <w:t>机关民事案件繁简分流实施方案（试行）</w:t>
      </w:r>
    </w:p>
    <w:p w14:paraId="10128C1B">
      <w:pPr>
        <w:spacing w:line="560" w:lineRule="exact"/>
        <w:ind w:firstLine="632"/>
        <w:rPr>
          <w:rFonts w:ascii="仿宋_GB2312" w:hAnsi="宋体"/>
        </w:rPr>
      </w:pPr>
    </w:p>
    <w:p w14:paraId="3295B2F6">
      <w:pPr>
        <w:spacing w:line="600" w:lineRule="exact"/>
        <w:ind w:firstLine="632"/>
        <w:rPr>
          <w:rFonts w:ascii="仿宋_GB2312" w:hAnsi="宋体"/>
        </w:rPr>
      </w:pPr>
      <w:r>
        <w:rPr>
          <w:rFonts w:hint="eastAsia" w:ascii="仿宋_GB2312" w:hAnsi="宋体"/>
        </w:rPr>
        <w:t>第一条  为进一步优化司法资源，提高司法效率，根据法律规定以及《最高人民法院关于进一步推进案件繁简分流优化司法资源配置的若干意见》、《最高人民法院关于民商事案件繁简分流和调解速裁操作规程（试行）》等文件精神，结合我院实际，制定本实施方案。</w:t>
      </w:r>
    </w:p>
    <w:p w14:paraId="33FF6853">
      <w:pPr>
        <w:spacing w:line="600" w:lineRule="exact"/>
        <w:ind w:firstLine="632"/>
        <w:rPr>
          <w:rFonts w:ascii="仿宋_GB2312" w:hAnsi="宋体"/>
        </w:rPr>
      </w:pPr>
      <w:r>
        <w:rPr>
          <w:rFonts w:hint="eastAsia" w:ascii="仿宋_GB2312" w:hAnsi="宋体"/>
        </w:rPr>
        <w:t>第二条  实施机关民事案件繁简分流，由立案庭负责、民事审判庭协助的工作机制，在立案庭设分流员，根据案件性质和事实、法律适用、社会影响、争议大小等因素，选择适用适当的审理程序，科学调配和高效适用审判资源，实现简案快审、繁案精审。</w:t>
      </w:r>
    </w:p>
    <w:p w14:paraId="685213A3">
      <w:pPr>
        <w:spacing w:line="600" w:lineRule="exact"/>
        <w:ind w:firstLine="632"/>
        <w:rPr>
          <w:rFonts w:ascii="仿宋_GB2312" w:hAnsi="宋体"/>
        </w:rPr>
      </w:pPr>
      <w:r>
        <w:rPr>
          <w:rFonts w:hint="eastAsia" w:ascii="仿宋_GB2312" w:hAnsi="宋体"/>
        </w:rPr>
        <w:t>第三条  在本院设立家事审判组、简案组、繁案组三个民事审判团队，家事审判组配备法官2名、简案组配备法官5名、繁案组配备法官5名（另加入额院领导4人），家事审判组和简案组审理的民事案件不得低于机关民商事案件受案数的70%。</w:t>
      </w:r>
    </w:p>
    <w:p w14:paraId="2FC84C1A">
      <w:pPr>
        <w:spacing w:line="600" w:lineRule="exact"/>
        <w:ind w:firstLine="632"/>
        <w:rPr>
          <w:rFonts w:ascii="仿宋_GB2312" w:hAnsi="宋体"/>
        </w:rPr>
      </w:pPr>
      <w:r>
        <w:rPr>
          <w:rFonts w:hint="eastAsia" w:ascii="仿宋_GB2312" w:hAnsi="宋体"/>
        </w:rPr>
        <w:t>第四条  家事审判组负责审理下列案件，由分流员在立案后二日内按序直接分案到法官，适用简易、速裁程序审理，并不得把案件移送其他团队办理。</w:t>
      </w:r>
    </w:p>
    <w:p w14:paraId="321C4CE6">
      <w:pPr>
        <w:spacing w:line="600" w:lineRule="exact"/>
        <w:ind w:firstLine="632"/>
        <w:rPr>
          <w:rFonts w:ascii="仿宋_GB2312" w:hAnsi="宋体"/>
        </w:rPr>
      </w:pPr>
      <w:r>
        <w:rPr>
          <w:rFonts w:hint="eastAsia" w:ascii="仿宋_GB2312" w:hAnsi="宋体"/>
        </w:rPr>
        <w:t>1、人格权纠纷、婚姻家庭纠纷、继承纠纷案件；</w:t>
      </w:r>
    </w:p>
    <w:p w14:paraId="02BEEA07">
      <w:pPr>
        <w:spacing w:line="600" w:lineRule="exact"/>
        <w:ind w:firstLine="632"/>
        <w:rPr>
          <w:rFonts w:ascii="仿宋_GB2312" w:hAnsi="宋体"/>
        </w:rPr>
      </w:pPr>
      <w:r>
        <w:rPr>
          <w:rFonts w:hint="eastAsia" w:ascii="仿宋_GB2312" w:hAnsi="宋体"/>
        </w:rPr>
        <w:t>2、监护权特别程序案件、指定遗产管理人案件、申请人身安全保护令案件；</w:t>
      </w:r>
    </w:p>
    <w:p w14:paraId="7124B32E">
      <w:pPr>
        <w:spacing w:line="600" w:lineRule="exact"/>
        <w:ind w:firstLine="632"/>
        <w:rPr>
          <w:rFonts w:ascii="仿宋_GB2312" w:hAnsi="宋体"/>
        </w:rPr>
      </w:pPr>
      <w:r>
        <w:rPr>
          <w:rFonts w:hint="eastAsia" w:ascii="仿宋_GB2312" w:hAnsi="宋体"/>
        </w:rPr>
        <w:t>3、同时起诉的被告相同的批量类案；</w:t>
      </w:r>
    </w:p>
    <w:p w14:paraId="27FAE519">
      <w:pPr>
        <w:spacing w:line="600" w:lineRule="exact"/>
        <w:ind w:firstLine="632"/>
        <w:rPr>
          <w:rFonts w:ascii="仿宋_GB2312" w:hAnsi="宋体"/>
        </w:rPr>
      </w:pPr>
      <w:r>
        <w:rPr>
          <w:rFonts w:hint="eastAsia" w:ascii="仿宋_GB2312" w:hAnsi="宋体"/>
        </w:rPr>
        <w:t>4、由分管领导交办的其他适合简易、速裁程序的简单民事案件。</w:t>
      </w:r>
    </w:p>
    <w:p w14:paraId="5F33C486">
      <w:pPr>
        <w:spacing w:line="600" w:lineRule="exact"/>
        <w:ind w:firstLine="632"/>
        <w:rPr>
          <w:rFonts w:ascii="仿宋_GB2312" w:hAnsi="宋体"/>
        </w:rPr>
      </w:pPr>
      <w:r>
        <w:rPr>
          <w:rFonts w:hint="eastAsia" w:ascii="仿宋_GB2312" w:hAnsi="宋体"/>
        </w:rPr>
        <w:t>第五条  下列民事案件，原则上划归简案，由分流员直接按序分案到简案组的法官，原则上适用简易、速裁程序或特别程序审理。</w:t>
      </w:r>
    </w:p>
    <w:p w14:paraId="60073DB7">
      <w:pPr>
        <w:spacing w:line="600" w:lineRule="exact"/>
        <w:ind w:firstLine="632"/>
        <w:rPr>
          <w:rFonts w:ascii="仿宋_GB2312" w:hAnsi="宋体"/>
        </w:rPr>
      </w:pPr>
      <w:r>
        <w:rPr>
          <w:rFonts w:hint="eastAsia" w:ascii="仿宋_GB2312" w:hAnsi="宋体"/>
        </w:rPr>
        <w:t>1、诉前保全、不予受理、管辖权异议以及可不经开庭即可裁定驳回起诉的案件；</w:t>
      </w:r>
    </w:p>
    <w:p w14:paraId="10D78B0C">
      <w:pPr>
        <w:spacing w:line="600" w:lineRule="exact"/>
        <w:ind w:firstLine="632"/>
        <w:rPr>
          <w:rFonts w:ascii="仿宋_GB2312" w:hAnsi="宋体"/>
        </w:rPr>
      </w:pPr>
      <w:r>
        <w:rPr>
          <w:rFonts w:hint="eastAsia" w:ascii="仿宋_GB2312" w:hAnsi="宋体"/>
        </w:rPr>
        <w:t>2、权利义务关系明确的借款合同纠纷、买卖合同纠纷、侵权责任纠纷；</w:t>
      </w:r>
    </w:p>
    <w:p w14:paraId="37FDFE9C">
      <w:pPr>
        <w:spacing w:line="600" w:lineRule="exact"/>
        <w:ind w:firstLine="632"/>
        <w:rPr>
          <w:rFonts w:ascii="仿宋_GB2312" w:hAnsi="宋体"/>
        </w:rPr>
      </w:pPr>
      <w:r>
        <w:rPr>
          <w:rFonts w:hint="eastAsia" w:ascii="仿宋_GB2312" w:hAnsi="宋体"/>
        </w:rPr>
        <w:t>3、双方争议不大的机动车交通事故责任纠纷、医疗损害责任纠纷、物权保护纠纷；</w:t>
      </w:r>
    </w:p>
    <w:p w14:paraId="261D89CE">
      <w:pPr>
        <w:spacing w:line="600" w:lineRule="exact"/>
        <w:ind w:firstLine="632"/>
        <w:rPr>
          <w:rFonts w:ascii="仿宋_GB2312" w:hAnsi="宋体"/>
        </w:rPr>
      </w:pPr>
      <w:r>
        <w:rPr>
          <w:rFonts w:hint="eastAsia" w:ascii="仿宋_GB2312" w:hAnsi="宋体"/>
        </w:rPr>
        <w:t>4、适用督促程序和公示催告程序审理的案件；</w:t>
      </w:r>
    </w:p>
    <w:p w14:paraId="563C6339">
      <w:pPr>
        <w:spacing w:line="600" w:lineRule="exact"/>
        <w:ind w:firstLine="632"/>
        <w:rPr>
          <w:rFonts w:ascii="仿宋_GB2312" w:hAnsi="宋体"/>
        </w:rPr>
      </w:pPr>
      <w:r>
        <w:rPr>
          <w:rFonts w:hint="eastAsia" w:ascii="仿宋_GB2312" w:hAnsi="宋体"/>
        </w:rPr>
        <w:t>5、适用特别程序审理的案件；</w:t>
      </w:r>
    </w:p>
    <w:p w14:paraId="65B7752B">
      <w:pPr>
        <w:spacing w:line="600" w:lineRule="exact"/>
        <w:ind w:firstLine="632"/>
        <w:rPr>
          <w:rFonts w:ascii="仿宋_GB2312" w:hAnsi="宋体"/>
        </w:rPr>
      </w:pPr>
      <w:r>
        <w:rPr>
          <w:rFonts w:hint="eastAsia" w:ascii="仿宋_GB2312" w:hAnsi="宋体"/>
        </w:rPr>
        <w:t>6、适用小额诉讼程序的案件；</w:t>
      </w:r>
    </w:p>
    <w:p w14:paraId="4A16EF4D">
      <w:pPr>
        <w:spacing w:line="600" w:lineRule="exact"/>
        <w:ind w:firstLine="632"/>
        <w:rPr>
          <w:rFonts w:hint="eastAsia" w:ascii="仿宋_GB2312" w:hAnsi="宋体"/>
        </w:rPr>
      </w:pPr>
      <w:r>
        <w:rPr>
          <w:rFonts w:hint="eastAsia" w:ascii="仿宋_GB2312" w:hAnsi="宋体"/>
        </w:rPr>
        <w:t>7、双方当事人对案件的主要事实基本一致，无须作大量调查即可判明事实、分清是非、明确责任的其他各类纠纷；</w:t>
      </w:r>
    </w:p>
    <w:p w14:paraId="323AB132">
      <w:pPr>
        <w:spacing w:line="600" w:lineRule="exact"/>
        <w:ind w:firstLine="632"/>
        <w:rPr>
          <w:rFonts w:hint="eastAsia" w:ascii="仿宋_GB2312" w:hAnsi="宋体" w:eastAsia="仿宋_GB2312"/>
          <w:lang w:val="en-US" w:eastAsia="zh-CN"/>
        </w:rPr>
      </w:pPr>
      <w:r>
        <w:rPr>
          <w:rFonts w:hint="eastAsia" w:ascii="仿宋_GB2312" w:hAnsi="宋体"/>
          <w:lang w:val="en-US" w:eastAsia="zh-CN"/>
        </w:rPr>
        <w:t>8、案件事实清楚、权利义务关系明确，但案件所涉及的某些专业性问题或事实认定需要通过鉴定评估来明确，而鉴定评估程序相对简单的案件。</w:t>
      </w:r>
      <w:bookmarkStart w:id="0" w:name="_GoBack"/>
      <w:bookmarkEnd w:id="0"/>
    </w:p>
    <w:p w14:paraId="6CE74066">
      <w:pPr>
        <w:spacing w:line="600" w:lineRule="exact"/>
        <w:ind w:firstLine="632"/>
        <w:rPr>
          <w:rFonts w:ascii="仿宋_GB2312" w:hAnsi="宋体"/>
        </w:rPr>
      </w:pPr>
      <w:r>
        <w:rPr>
          <w:rFonts w:hint="eastAsia" w:ascii="仿宋_GB2312" w:hAnsi="宋体"/>
        </w:rPr>
        <w:t>上述类型案件，因被告下落不明转为普通程序，仍由简案法官审理完毕。</w:t>
      </w:r>
    </w:p>
    <w:p w14:paraId="7E9E8AAD">
      <w:pPr>
        <w:spacing w:line="600" w:lineRule="exact"/>
        <w:ind w:firstLine="632"/>
        <w:rPr>
          <w:rFonts w:ascii="仿宋_GB2312" w:hAnsi="宋体"/>
        </w:rPr>
      </w:pPr>
      <w:r>
        <w:rPr>
          <w:rFonts w:hint="eastAsia" w:ascii="仿宋_GB2312" w:hAnsi="宋体"/>
        </w:rPr>
        <w:t>第六条  适用简易、速裁程序审理的案件，应在法律规定的正常审限内审结，一般不得延期审结。可以速裁的案件，一般应当在立案之日起十日内审结，最长不超过二十日，原则上应当当庭宣判，并在案件宣判后三日内送达裁判文书。</w:t>
      </w:r>
    </w:p>
    <w:p w14:paraId="233B1858">
      <w:pPr>
        <w:spacing w:line="600" w:lineRule="exact"/>
        <w:ind w:firstLine="632"/>
        <w:rPr>
          <w:rFonts w:ascii="仿宋_GB2312" w:hAnsi="宋体"/>
        </w:rPr>
      </w:pPr>
      <w:r>
        <w:rPr>
          <w:rFonts w:hint="eastAsia" w:ascii="仿宋_GB2312" w:hAnsi="宋体"/>
        </w:rPr>
        <w:t>第七条  适用简易、速裁程序速裁的案件，其举证期限由人民法院确定，也可以由当事人协商一致并经人民法院准许，但不得超过司法解释规定的十五日。双方当事人可以协商放弃或者缩短举证期限和答辩期限。当事人双方均表示不需要举证期和答辩期的，记入笔录，当日开庭审理或者当日确定开庭日期。</w:t>
      </w:r>
    </w:p>
    <w:p w14:paraId="2D21A76F">
      <w:pPr>
        <w:spacing w:line="600" w:lineRule="exact"/>
        <w:ind w:firstLine="632"/>
        <w:rPr>
          <w:rFonts w:ascii="仿宋_GB2312" w:hAnsi="宋体"/>
        </w:rPr>
      </w:pPr>
      <w:r>
        <w:rPr>
          <w:rFonts w:hint="eastAsia" w:ascii="仿宋_GB2312" w:hAnsi="宋体"/>
        </w:rPr>
        <w:t>第八条  适用简易程序速裁的案件，可以使用令状式、要素式、表格式等简式裁判文书。当庭即时履行的，经征得各方当事人同意，可以记入笔录中不再出具裁判文书。</w:t>
      </w:r>
    </w:p>
    <w:p w14:paraId="7F212164">
      <w:pPr>
        <w:spacing w:line="600" w:lineRule="exact"/>
        <w:ind w:firstLine="632"/>
        <w:rPr>
          <w:rFonts w:ascii="仿宋_GB2312" w:hAnsi="宋体"/>
        </w:rPr>
      </w:pPr>
      <w:r>
        <w:rPr>
          <w:rFonts w:hint="eastAsia" w:ascii="仿宋_GB2312" w:hAnsi="宋体"/>
        </w:rPr>
        <w:t>第九条  简案团队法官在案件立案之日起二十日内，发现案情复杂不宜适用简易程序办理的，可以提出具体理由并填写《案件移转申请表》报送分管领导，经审批后移送繁案团队办理，但每名法官年度内移转的案件原则上不得超过该法官已收案件总数的5%。案件已开庭的，一般不再移转。</w:t>
      </w:r>
    </w:p>
    <w:p w14:paraId="350AF1E4">
      <w:pPr>
        <w:spacing w:line="600" w:lineRule="exact"/>
        <w:ind w:firstLine="632"/>
        <w:rPr>
          <w:rFonts w:ascii="仿宋_GB2312" w:hAnsi="宋体"/>
        </w:rPr>
      </w:pPr>
      <w:r>
        <w:rPr>
          <w:rFonts w:hint="eastAsia" w:ascii="仿宋_GB2312" w:hAnsi="宋体"/>
        </w:rPr>
        <w:t>第十条  简案组移转到繁案组的案件，交由民事审判庭庭长依照立案庭对繁案组法官的分案顺序重新按序变更案件承办人，繁案组法官不得拒收。</w:t>
      </w:r>
    </w:p>
    <w:p w14:paraId="7FEE7557">
      <w:pPr>
        <w:spacing w:line="600" w:lineRule="exact"/>
        <w:ind w:firstLine="632"/>
        <w:rPr>
          <w:rFonts w:ascii="仿宋_GB2312" w:hAnsi="宋体"/>
        </w:rPr>
      </w:pPr>
      <w:r>
        <w:rPr>
          <w:rFonts w:hint="eastAsia" w:ascii="仿宋_GB2312" w:hAnsi="宋体"/>
        </w:rPr>
        <w:t>第十一条  下列民事案件划归繁案范围，由立案庭分流员直接按序分案到繁案组法官，适用简易或普通程序审理。</w:t>
      </w:r>
    </w:p>
    <w:p w14:paraId="7A188FAD">
      <w:pPr>
        <w:spacing w:line="600" w:lineRule="exact"/>
        <w:ind w:firstLine="632"/>
        <w:rPr>
          <w:rFonts w:ascii="仿宋_GB2312" w:hAnsi="宋体"/>
        </w:rPr>
      </w:pPr>
      <w:r>
        <w:rPr>
          <w:rFonts w:hint="eastAsia" w:ascii="仿宋_GB2312" w:hAnsi="宋体"/>
        </w:rPr>
        <w:t>1、与建设工程施工合同有关的纠纷、与企业有关的纠纷、与公司有关的纠纷、与破产有关的纠纷、票据纠纷、提供劳务者受害责任纠纷、相邻权纠纷、土地承包经营权合同纠纷、劳动争议纠纷、保险纠纷等；</w:t>
      </w:r>
    </w:p>
    <w:p w14:paraId="1B4CD078">
      <w:pPr>
        <w:spacing w:line="600" w:lineRule="exact"/>
        <w:ind w:firstLine="632"/>
        <w:rPr>
          <w:rFonts w:ascii="仿宋_GB2312" w:hAnsi="宋体"/>
        </w:rPr>
      </w:pPr>
      <w:r>
        <w:rPr>
          <w:rFonts w:hint="eastAsia" w:ascii="仿宋_GB2312" w:hAnsi="宋体"/>
        </w:rPr>
        <w:t>2、双方当事人对案件事实争议较大的机动车交通事故责任纠纷、医疗损害赔偿纠纷、物权保护纠纷；</w:t>
      </w:r>
    </w:p>
    <w:p w14:paraId="6CE63F5E">
      <w:pPr>
        <w:spacing w:line="600" w:lineRule="exact"/>
        <w:ind w:firstLine="632"/>
        <w:rPr>
          <w:rFonts w:ascii="仿宋_GB2312" w:hAnsi="宋体"/>
        </w:rPr>
      </w:pPr>
      <w:r>
        <w:rPr>
          <w:rFonts w:hint="eastAsia" w:ascii="仿宋_GB2312" w:hAnsi="宋体"/>
        </w:rPr>
        <w:t>3、第三人撤销之诉、执行异议之诉案件以及公益诉讼；</w:t>
      </w:r>
    </w:p>
    <w:p w14:paraId="5819E6B1">
      <w:pPr>
        <w:spacing w:line="600" w:lineRule="exact"/>
        <w:ind w:firstLine="632"/>
        <w:rPr>
          <w:rFonts w:ascii="仿宋_GB2312" w:hAnsi="宋体"/>
        </w:rPr>
      </w:pPr>
      <w:r>
        <w:rPr>
          <w:rFonts w:hint="eastAsia" w:ascii="仿宋_GB2312" w:hAnsi="宋体"/>
        </w:rPr>
        <w:t>4、发回重审案件、再审案件；</w:t>
      </w:r>
    </w:p>
    <w:p w14:paraId="74B403B7">
      <w:pPr>
        <w:spacing w:line="600" w:lineRule="exact"/>
        <w:ind w:firstLine="632"/>
        <w:rPr>
          <w:rFonts w:ascii="仿宋_GB2312" w:hAnsi="宋体"/>
        </w:rPr>
      </w:pPr>
      <w:r>
        <w:rPr>
          <w:rFonts w:hint="eastAsia" w:ascii="仿宋_GB2312" w:hAnsi="宋体"/>
        </w:rPr>
        <w:t>5、新类型或者具有典型、指导意义的案件；</w:t>
      </w:r>
    </w:p>
    <w:p w14:paraId="38FF8781">
      <w:pPr>
        <w:spacing w:line="600" w:lineRule="exact"/>
        <w:ind w:firstLine="632"/>
        <w:rPr>
          <w:rFonts w:ascii="仿宋_GB2312" w:hAnsi="宋体"/>
        </w:rPr>
      </w:pPr>
      <w:r>
        <w:rPr>
          <w:rFonts w:hint="eastAsia" w:ascii="仿宋_GB2312" w:hAnsi="宋体"/>
        </w:rPr>
        <w:t>6、复杂疑难案件和社会影响大、舆论关注度高的案件;</w:t>
      </w:r>
    </w:p>
    <w:p w14:paraId="3DFE3BCD">
      <w:pPr>
        <w:spacing w:line="600" w:lineRule="exact"/>
        <w:ind w:firstLine="632"/>
        <w:rPr>
          <w:rFonts w:ascii="仿宋_GB2312" w:hAnsi="宋体"/>
        </w:rPr>
      </w:pPr>
      <w:r>
        <w:rPr>
          <w:rFonts w:hint="eastAsia" w:ascii="仿宋_GB2312" w:hAnsi="宋体"/>
        </w:rPr>
        <w:t>7、其他事实不清、法律关系不明、争议较大或工作量大的案件。</w:t>
      </w:r>
    </w:p>
    <w:p w14:paraId="5D48FC71">
      <w:pPr>
        <w:spacing w:line="600" w:lineRule="exact"/>
        <w:ind w:firstLine="632"/>
        <w:rPr>
          <w:rFonts w:ascii="仿宋_GB2312" w:hAnsi="宋体"/>
        </w:rPr>
      </w:pPr>
      <w:r>
        <w:rPr>
          <w:rFonts w:hint="eastAsia" w:ascii="仿宋_GB2312" w:hAnsi="宋体"/>
        </w:rPr>
        <w:t>第十二条  所有由立案庭分流员分出的案件，应由首位承办人负责在法定期限内向被告（第三人）送达应诉通知书、起诉状副本、举证通知书等法律文书，并可结合案件情况确定开庭日期。</w:t>
      </w:r>
    </w:p>
    <w:p w14:paraId="54095424">
      <w:pPr>
        <w:spacing w:line="600" w:lineRule="exact"/>
        <w:ind w:firstLine="632"/>
        <w:rPr>
          <w:rFonts w:ascii="仿宋_GB2312" w:hAnsi="宋体"/>
        </w:rPr>
      </w:pPr>
      <w:r>
        <w:rPr>
          <w:rFonts w:hint="eastAsia" w:ascii="仿宋_GB2312" w:hAnsi="宋体"/>
        </w:rPr>
        <w:t>第十三条  诉讼过程中，当事人提出证据保全、财产保全等申请的，由当时的承办法官及时作出处理，不得拖延办理。未在法定期限内办理的，分管领导不签发移转。</w:t>
      </w:r>
    </w:p>
    <w:p w14:paraId="04EDC1CC">
      <w:pPr>
        <w:spacing w:line="600" w:lineRule="exact"/>
        <w:ind w:firstLine="632"/>
        <w:rPr>
          <w:rFonts w:ascii="仿宋_GB2312" w:hAnsi="宋体"/>
        </w:rPr>
      </w:pPr>
      <w:r>
        <w:rPr>
          <w:rFonts w:hint="eastAsia" w:ascii="仿宋_GB2312" w:hAnsi="宋体"/>
        </w:rPr>
        <w:t>第十四条  所有民事案件的审判流程信息，除立案环节由立案庭工作人员录入外，其他信息均由当时的承办法官或法官助理录入。</w:t>
      </w:r>
    </w:p>
    <w:p w14:paraId="303064FC">
      <w:pPr>
        <w:spacing w:line="600" w:lineRule="exact"/>
        <w:ind w:firstLine="632"/>
        <w:rPr>
          <w:rFonts w:ascii="仿宋_GB2312" w:hAnsi="宋体"/>
        </w:rPr>
      </w:pPr>
      <w:r>
        <w:rPr>
          <w:rFonts w:hint="eastAsia" w:ascii="仿宋_GB2312" w:hAnsi="宋体"/>
        </w:rPr>
        <w:t>第十五条  立案庭分流员在区分繁简案件把握不准时，由立案庭庭长决定，立案庭庭长决定后繁简团队存在分歧时，报经分管民事审判的院</w:t>
      </w:r>
      <w:r>
        <w:rPr>
          <w:rFonts w:hint="eastAsia" w:ascii="仿宋_GB2312" w:hAnsi="宋体" w:cs="宋体"/>
        </w:rPr>
        <w:t>领导</w:t>
      </w:r>
      <w:r>
        <w:rPr>
          <w:rFonts w:hint="eastAsia" w:ascii="仿宋_GB2312" w:hAnsi="宋体"/>
        </w:rPr>
        <w:t>或者院长最终决定。</w:t>
      </w:r>
    </w:p>
    <w:p w14:paraId="4B9EE206">
      <w:pPr>
        <w:spacing w:line="600" w:lineRule="exact"/>
        <w:ind w:firstLine="632"/>
        <w:rPr>
          <w:rFonts w:ascii="仿宋_GB2312" w:hAnsi="宋体"/>
        </w:rPr>
      </w:pPr>
      <w:r>
        <w:rPr>
          <w:rFonts w:hint="eastAsia" w:ascii="仿宋_GB2312" w:hAnsi="宋体"/>
        </w:rPr>
        <w:t>第十六条  立案庭以及民事简繁三个团队均应坚持快立、快调、快审、快结理念，适用简易程序审理中积极探索送达更便捷、庭前准备更简单、庭审方式更简捷、文书制作更简易的审判方式，适用普通程序审理中积极探索更加规范的审判程序和实现庭审实质化、裁判文书简化、多出精品的工作措施，切实做到公正与高效司法。</w:t>
      </w:r>
    </w:p>
    <w:p w14:paraId="2951EF26">
      <w:pPr>
        <w:spacing w:line="600" w:lineRule="exact"/>
        <w:ind w:firstLine="632"/>
        <w:rPr>
          <w:rFonts w:ascii="仿宋_GB2312" w:hAnsi="宋体"/>
        </w:rPr>
      </w:pPr>
      <w:r>
        <w:rPr>
          <w:rFonts w:hint="eastAsia" w:ascii="仿宋_GB2312" w:hAnsi="宋体"/>
        </w:rPr>
        <w:t>第十七条  立案庭应与其他调解机构和组织加强工作对接，搭建诉调对接平台。对立案登记之前当事人同意选择协调、和解等非诉讼方式解决纠纷的，应积极引导至有关调解组织进行调解，并将案件及调解情况录入系统。</w:t>
      </w:r>
    </w:p>
    <w:p w14:paraId="47505F05">
      <w:pPr>
        <w:spacing w:line="600" w:lineRule="exact"/>
        <w:ind w:firstLine="632"/>
        <w:rPr>
          <w:rFonts w:ascii="仿宋_GB2312" w:hAnsi="宋体"/>
        </w:rPr>
      </w:pPr>
      <w:r>
        <w:rPr>
          <w:rFonts w:hint="eastAsia" w:ascii="仿宋_GB2312" w:hAnsi="宋体"/>
        </w:rPr>
        <w:t>诉前调解达成协议后当事人依法申请司法确认的，立案庭应及时受理并移送法官办理。未达成协议而当事人依法起诉的，应及时予以立案登记。</w:t>
      </w:r>
    </w:p>
    <w:p w14:paraId="715A10F7">
      <w:pPr>
        <w:spacing w:line="600" w:lineRule="exact"/>
        <w:ind w:firstLine="632"/>
        <w:rPr>
          <w:rFonts w:ascii="仿宋_GB2312" w:hAnsi="宋体"/>
        </w:rPr>
      </w:pPr>
      <w:r>
        <w:rPr>
          <w:rFonts w:hint="eastAsia" w:ascii="仿宋_GB2312" w:hAnsi="宋体"/>
        </w:rPr>
        <w:t>第十八条  本实施方案自2021年1月15日起试行，之前已分配到法官的案件仍由该法官办理，不再予以繁简分流。执行过程中存在的问题，由院审判委员会研究决定。</w:t>
      </w:r>
    </w:p>
    <w:p w14:paraId="2749BEE1">
      <w:pPr>
        <w:spacing w:line="560" w:lineRule="exact"/>
        <w:ind w:firstLine="632"/>
        <w:rPr>
          <w:rFonts w:ascii="仿宋_GB2312" w:hAnsi="宋体"/>
        </w:rPr>
      </w:pPr>
    </w:p>
    <w:p w14:paraId="532C8DFC">
      <w:pPr>
        <w:spacing w:line="560" w:lineRule="exact"/>
        <w:ind w:firstLine="632"/>
        <w:rPr>
          <w:rFonts w:ascii="仿宋_GB2312" w:hAnsi="宋体"/>
        </w:rPr>
      </w:pPr>
    </w:p>
    <w:p w14:paraId="6F4FEAFD">
      <w:pPr>
        <w:spacing w:line="560" w:lineRule="exact"/>
        <w:ind w:firstLine="632"/>
        <w:rPr>
          <w:rFonts w:ascii="仿宋_GB2312" w:hAnsi="宋体"/>
        </w:rPr>
      </w:pPr>
    </w:p>
    <w:p w14:paraId="67F6E212">
      <w:pPr>
        <w:spacing w:line="560" w:lineRule="exact"/>
        <w:ind w:firstLine="632"/>
        <w:rPr>
          <w:rFonts w:ascii="仿宋_GB2312" w:hAnsi="宋体"/>
        </w:rPr>
      </w:pPr>
    </w:p>
    <w:p w14:paraId="054BB79E">
      <w:pPr>
        <w:spacing w:line="560" w:lineRule="exact"/>
        <w:ind w:firstLine="5597" w:firstLineChars="1771"/>
        <w:rPr>
          <w:rFonts w:ascii="仿宋_GB2312" w:hAnsi="宋体"/>
        </w:rPr>
      </w:pPr>
      <w:r>
        <w:rPr>
          <w:rFonts w:hint="eastAsia" w:ascii="仿宋_GB2312" w:hAnsi="宋体"/>
        </w:rPr>
        <w:t>咸丰县人民法院</w:t>
      </w:r>
    </w:p>
    <w:p w14:paraId="44CFCB2A">
      <w:pPr>
        <w:spacing w:line="560" w:lineRule="exact"/>
        <w:ind w:firstLine="5132" w:firstLineChars="1624"/>
        <w:rPr>
          <w:rFonts w:ascii="仿宋_GB2312" w:hAnsi="宋体"/>
        </w:rPr>
      </w:pPr>
    </w:p>
    <w:p w14:paraId="72B1EEE2">
      <w:pPr>
        <w:spacing w:line="560" w:lineRule="exact"/>
        <w:ind w:firstLine="5597" w:firstLineChars="1771"/>
        <w:rPr>
          <w:rFonts w:ascii="仿宋_GB2312" w:hAnsi="宋体"/>
        </w:rPr>
      </w:pPr>
      <w:r>
        <w:rPr>
          <w:rFonts w:hint="eastAsia" w:ascii="仿宋_GB2312" w:hAnsi="宋体"/>
        </w:rPr>
        <w:t>2021年1月15日</w:t>
      </w:r>
    </w:p>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1247"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33253"/>
      <w:docPartObj>
        <w:docPartGallery w:val="AutoText"/>
      </w:docPartObj>
    </w:sdtPr>
    <w:sdtContent>
      <w:p w14:paraId="55CE9A25">
        <w:pPr>
          <w:pStyle w:val="4"/>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71FC5149">
    <w:pPr>
      <w:pStyle w:val="4"/>
      <w:tabs>
        <w:tab w:val="clear" w:pos="4153"/>
      </w:tabs>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05612"/>
      <w:docPartObj>
        <w:docPartGallery w:val="AutoText"/>
      </w:docPartObj>
    </w:sdtPr>
    <w:sdtContent>
      <w:p w14:paraId="565C00D2">
        <w:pPr>
          <w:pStyle w:val="4"/>
          <w:ind w:firstLine="360"/>
          <w:jc w:val="center"/>
        </w:pPr>
        <w:r>
          <w:fldChar w:fldCharType="begin"/>
        </w:r>
        <w:r>
          <w:instrText xml:space="preserve"> PAGE   \* MERGEFORMAT </w:instrText>
        </w:r>
        <w:r>
          <w:fldChar w:fldCharType="separate"/>
        </w:r>
        <w:r>
          <w:rPr>
            <w:lang w:val="zh-CN"/>
          </w:rPr>
          <w:t>2</w:t>
        </w:r>
        <w:r>
          <w:rPr>
            <w:lang w:val="zh-CN"/>
          </w:rPr>
          <w:fldChar w:fldCharType="end"/>
        </w:r>
      </w:p>
    </w:sdtContent>
  </w:sdt>
  <w:p w14:paraId="2298534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EE9C">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4F407">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F0E1">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254E">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2B549D7E-21C8-4244-8004-01C100765DD0}" w:val="tVajJq2ywm/zTb4rL9vpICEdZ06DnhYuQA5oGXe=UWHSls31gR7iKBPOf+kFNcM8x"/>
    <w:docVar w:name="commondata" w:val="eyJoZGlkIjoiOWY3NWNhNzYxMzg0MDg4MWJlNTE4ODQ0NWUzNjdjMDAifQ=="/>
    <w:docVar w:name="DocumentID" w:val="{866B129F-6D53-41A9-B7D6-97BD02173A08}"/>
  </w:docVars>
  <w:rsids>
    <w:rsidRoot w:val="00D77475"/>
    <w:rsid w:val="00015442"/>
    <w:rsid w:val="00024E7E"/>
    <w:rsid w:val="00025FBD"/>
    <w:rsid w:val="00036451"/>
    <w:rsid w:val="00076046"/>
    <w:rsid w:val="0008226A"/>
    <w:rsid w:val="00090F89"/>
    <w:rsid w:val="000A085F"/>
    <w:rsid w:val="000B4AB7"/>
    <w:rsid w:val="000C609D"/>
    <w:rsid w:val="000E35FF"/>
    <w:rsid w:val="000E49C3"/>
    <w:rsid w:val="000E6FC9"/>
    <w:rsid w:val="000F3709"/>
    <w:rsid w:val="00101F81"/>
    <w:rsid w:val="00102FC1"/>
    <w:rsid w:val="00110759"/>
    <w:rsid w:val="00125E67"/>
    <w:rsid w:val="0013340D"/>
    <w:rsid w:val="00147151"/>
    <w:rsid w:val="0015430E"/>
    <w:rsid w:val="00155540"/>
    <w:rsid w:val="00160A81"/>
    <w:rsid w:val="0016392A"/>
    <w:rsid w:val="001717D5"/>
    <w:rsid w:val="001A4657"/>
    <w:rsid w:val="001B7CA4"/>
    <w:rsid w:val="001C1FDB"/>
    <w:rsid w:val="001C69AF"/>
    <w:rsid w:val="001D0764"/>
    <w:rsid w:val="001D2E4A"/>
    <w:rsid w:val="001F088E"/>
    <w:rsid w:val="0020444F"/>
    <w:rsid w:val="00222279"/>
    <w:rsid w:val="002452C0"/>
    <w:rsid w:val="0025140A"/>
    <w:rsid w:val="00253D39"/>
    <w:rsid w:val="002661E5"/>
    <w:rsid w:val="002807BD"/>
    <w:rsid w:val="002903D2"/>
    <w:rsid w:val="00296EDE"/>
    <w:rsid w:val="002A7D74"/>
    <w:rsid w:val="002B18C1"/>
    <w:rsid w:val="002C298A"/>
    <w:rsid w:val="002C3594"/>
    <w:rsid w:val="002C4D0A"/>
    <w:rsid w:val="002C7299"/>
    <w:rsid w:val="002D5382"/>
    <w:rsid w:val="002E1BB4"/>
    <w:rsid w:val="002E6CB5"/>
    <w:rsid w:val="003239A0"/>
    <w:rsid w:val="0033732F"/>
    <w:rsid w:val="00346CA5"/>
    <w:rsid w:val="00366A89"/>
    <w:rsid w:val="00384AE6"/>
    <w:rsid w:val="003926B9"/>
    <w:rsid w:val="003B251A"/>
    <w:rsid w:val="003B35AC"/>
    <w:rsid w:val="003B3FB2"/>
    <w:rsid w:val="003B4681"/>
    <w:rsid w:val="003C5352"/>
    <w:rsid w:val="003E16A5"/>
    <w:rsid w:val="003F7619"/>
    <w:rsid w:val="003F791E"/>
    <w:rsid w:val="0041000B"/>
    <w:rsid w:val="00416ED4"/>
    <w:rsid w:val="0042016B"/>
    <w:rsid w:val="004337BD"/>
    <w:rsid w:val="00446CA7"/>
    <w:rsid w:val="0045168B"/>
    <w:rsid w:val="00456E4E"/>
    <w:rsid w:val="0046158F"/>
    <w:rsid w:val="0046458E"/>
    <w:rsid w:val="00480C44"/>
    <w:rsid w:val="00482A3C"/>
    <w:rsid w:val="00485401"/>
    <w:rsid w:val="00494CBD"/>
    <w:rsid w:val="004B3534"/>
    <w:rsid w:val="004C6545"/>
    <w:rsid w:val="004F073E"/>
    <w:rsid w:val="004F507F"/>
    <w:rsid w:val="005067FE"/>
    <w:rsid w:val="005308A3"/>
    <w:rsid w:val="00533601"/>
    <w:rsid w:val="00542AC2"/>
    <w:rsid w:val="005461F7"/>
    <w:rsid w:val="00550767"/>
    <w:rsid w:val="00560E3E"/>
    <w:rsid w:val="005631DD"/>
    <w:rsid w:val="005715A2"/>
    <w:rsid w:val="00571CDC"/>
    <w:rsid w:val="0057231D"/>
    <w:rsid w:val="005745E6"/>
    <w:rsid w:val="00583213"/>
    <w:rsid w:val="0058443A"/>
    <w:rsid w:val="00585F6B"/>
    <w:rsid w:val="005868A6"/>
    <w:rsid w:val="00587E68"/>
    <w:rsid w:val="0059582F"/>
    <w:rsid w:val="005A31DB"/>
    <w:rsid w:val="005C032C"/>
    <w:rsid w:val="005D150E"/>
    <w:rsid w:val="006115D1"/>
    <w:rsid w:val="00623172"/>
    <w:rsid w:val="00624448"/>
    <w:rsid w:val="00664DED"/>
    <w:rsid w:val="0066630A"/>
    <w:rsid w:val="00675978"/>
    <w:rsid w:val="00692951"/>
    <w:rsid w:val="0069412F"/>
    <w:rsid w:val="006C0323"/>
    <w:rsid w:val="006C2B60"/>
    <w:rsid w:val="006C5056"/>
    <w:rsid w:val="006C603C"/>
    <w:rsid w:val="006D2D54"/>
    <w:rsid w:val="0070027B"/>
    <w:rsid w:val="007013BE"/>
    <w:rsid w:val="00714698"/>
    <w:rsid w:val="007317AE"/>
    <w:rsid w:val="007419F8"/>
    <w:rsid w:val="00752036"/>
    <w:rsid w:val="00752D6E"/>
    <w:rsid w:val="00766662"/>
    <w:rsid w:val="00776E35"/>
    <w:rsid w:val="00780703"/>
    <w:rsid w:val="00781E9E"/>
    <w:rsid w:val="0078429C"/>
    <w:rsid w:val="00785B5D"/>
    <w:rsid w:val="0078768A"/>
    <w:rsid w:val="0078770D"/>
    <w:rsid w:val="007912AE"/>
    <w:rsid w:val="007C3746"/>
    <w:rsid w:val="007C507B"/>
    <w:rsid w:val="007D1A24"/>
    <w:rsid w:val="007D4CD9"/>
    <w:rsid w:val="007D6A02"/>
    <w:rsid w:val="007F45AA"/>
    <w:rsid w:val="007F5484"/>
    <w:rsid w:val="00803874"/>
    <w:rsid w:val="0082741C"/>
    <w:rsid w:val="00846F29"/>
    <w:rsid w:val="0085399A"/>
    <w:rsid w:val="00864C19"/>
    <w:rsid w:val="00884AE4"/>
    <w:rsid w:val="00891524"/>
    <w:rsid w:val="008A3486"/>
    <w:rsid w:val="008C25C5"/>
    <w:rsid w:val="008C5860"/>
    <w:rsid w:val="008C7EF3"/>
    <w:rsid w:val="008D2566"/>
    <w:rsid w:val="008D70AE"/>
    <w:rsid w:val="008E20E1"/>
    <w:rsid w:val="008E3C4E"/>
    <w:rsid w:val="008E5EF1"/>
    <w:rsid w:val="008E79AA"/>
    <w:rsid w:val="008F03C4"/>
    <w:rsid w:val="00917068"/>
    <w:rsid w:val="00921C94"/>
    <w:rsid w:val="00941C65"/>
    <w:rsid w:val="00970A51"/>
    <w:rsid w:val="00984449"/>
    <w:rsid w:val="009A2E3D"/>
    <w:rsid w:val="009C39B2"/>
    <w:rsid w:val="009D0040"/>
    <w:rsid w:val="009D032C"/>
    <w:rsid w:val="00A17AC9"/>
    <w:rsid w:val="00A2579A"/>
    <w:rsid w:val="00A25CA9"/>
    <w:rsid w:val="00A33CAE"/>
    <w:rsid w:val="00A558CC"/>
    <w:rsid w:val="00A82A50"/>
    <w:rsid w:val="00A86CF2"/>
    <w:rsid w:val="00A952E2"/>
    <w:rsid w:val="00AB6B74"/>
    <w:rsid w:val="00AC10E2"/>
    <w:rsid w:val="00AC32D2"/>
    <w:rsid w:val="00AF7891"/>
    <w:rsid w:val="00B332F4"/>
    <w:rsid w:val="00B35F3F"/>
    <w:rsid w:val="00B4188F"/>
    <w:rsid w:val="00B43E10"/>
    <w:rsid w:val="00B44477"/>
    <w:rsid w:val="00B44AF7"/>
    <w:rsid w:val="00B504B2"/>
    <w:rsid w:val="00B85CAF"/>
    <w:rsid w:val="00BA21CF"/>
    <w:rsid w:val="00BA529F"/>
    <w:rsid w:val="00BB5435"/>
    <w:rsid w:val="00BB575F"/>
    <w:rsid w:val="00BB5BCC"/>
    <w:rsid w:val="00BC2F6E"/>
    <w:rsid w:val="00BC7002"/>
    <w:rsid w:val="00BE57E4"/>
    <w:rsid w:val="00BF7252"/>
    <w:rsid w:val="00C27EA8"/>
    <w:rsid w:val="00C31187"/>
    <w:rsid w:val="00C36E7A"/>
    <w:rsid w:val="00C4070F"/>
    <w:rsid w:val="00C40F91"/>
    <w:rsid w:val="00C4108C"/>
    <w:rsid w:val="00C62594"/>
    <w:rsid w:val="00C63D82"/>
    <w:rsid w:val="00C77BB5"/>
    <w:rsid w:val="00C844FB"/>
    <w:rsid w:val="00C92D77"/>
    <w:rsid w:val="00C93BE6"/>
    <w:rsid w:val="00C94D17"/>
    <w:rsid w:val="00CB3E13"/>
    <w:rsid w:val="00CB6BF7"/>
    <w:rsid w:val="00CB6DFF"/>
    <w:rsid w:val="00CB7525"/>
    <w:rsid w:val="00CC7988"/>
    <w:rsid w:val="00CF32EA"/>
    <w:rsid w:val="00D116E5"/>
    <w:rsid w:val="00D265C1"/>
    <w:rsid w:val="00D41C97"/>
    <w:rsid w:val="00D424C8"/>
    <w:rsid w:val="00D46246"/>
    <w:rsid w:val="00D76A1C"/>
    <w:rsid w:val="00D77475"/>
    <w:rsid w:val="00D8328E"/>
    <w:rsid w:val="00DC51B9"/>
    <w:rsid w:val="00DC6E1E"/>
    <w:rsid w:val="00DD3598"/>
    <w:rsid w:val="00DE63CA"/>
    <w:rsid w:val="00DF11D1"/>
    <w:rsid w:val="00DF2356"/>
    <w:rsid w:val="00DF4749"/>
    <w:rsid w:val="00E0319E"/>
    <w:rsid w:val="00E04396"/>
    <w:rsid w:val="00E04552"/>
    <w:rsid w:val="00E258A1"/>
    <w:rsid w:val="00E43414"/>
    <w:rsid w:val="00E60A7C"/>
    <w:rsid w:val="00E7253B"/>
    <w:rsid w:val="00E97AFC"/>
    <w:rsid w:val="00EA2269"/>
    <w:rsid w:val="00EA38C9"/>
    <w:rsid w:val="00EB445B"/>
    <w:rsid w:val="00EC2853"/>
    <w:rsid w:val="00EF21FB"/>
    <w:rsid w:val="00F26AA9"/>
    <w:rsid w:val="00F3337A"/>
    <w:rsid w:val="00F44F8C"/>
    <w:rsid w:val="00F469C5"/>
    <w:rsid w:val="00F46AB3"/>
    <w:rsid w:val="00F71C53"/>
    <w:rsid w:val="00FB5858"/>
    <w:rsid w:val="00FC515E"/>
    <w:rsid w:val="00FD370E"/>
    <w:rsid w:val="00FD3EA4"/>
    <w:rsid w:val="00FD7A3D"/>
    <w:rsid w:val="00FF111B"/>
    <w:rsid w:val="0187367D"/>
    <w:rsid w:val="01AD7AD3"/>
    <w:rsid w:val="01BA7754"/>
    <w:rsid w:val="01C23702"/>
    <w:rsid w:val="01F65B1D"/>
    <w:rsid w:val="02556B26"/>
    <w:rsid w:val="03101204"/>
    <w:rsid w:val="033515A4"/>
    <w:rsid w:val="034472E8"/>
    <w:rsid w:val="03872117"/>
    <w:rsid w:val="03F415FF"/>
    <w:rsid w:val="047B068D"/>
    <w:rsid w:val="04801528"/>
    <w:rsid w:val="05810AF1"/>
    <w:rsid w:val="05E14596"/>
    <w:rsid w:val="062C262D"/>
    <w:rsid w:val="06502477"/>
    <w:rsid w:val="06825B4C"/>
    <w:rsid w:val="06A82585"/>
    <w:rsid w:val="06C6651B"/>
    <w:rsid w:val="07333A4B"/>
    <w:rsid w:val="079C2992"/>
    <w:rsid w:val="07D93D0C"/>
    <w:rsid w:val="08197C08"/>
    <w:rsid w:val="08263BD5"/>
    <w:rsid w:val="082854E7"/>
    <w:rsid w:val="08793B7A"/>
    <w:rsid w:val="091A189A"/>
    <w:rsid w:val="093A65B1"/>
    <w:rsid w:val="096A4027"/>
    <w:rsid w:val="09E828C1"/>
    <w:rsid w:val="0A431353"/>
    <w:rsid w:val="0A8E3E83"/>
    <w:rsid w:val="0B4169C4"/>
    <w:rsid w:val="0BE337B7"/>
    <w:rsid w:val="0C0553C1"/>
    <w:rsid w:val="0D6D49B0"/>
    <w:rsid w:val="0D8156F9"/>
    <w:rsid w:val="0D8B2DDD"/>
    <w:rsid w:val="0DE52B44"/>
    <w:rsid w:val="0F443190"/>
    <w:rsid w:val="0F691328"/>
    <w:rsid w:val="101F21A3"/>
    <w:rsid w:val="10ED3FAB"/>
    <w:rsid w:val="11166C0A"/>
    <w:rsid w:val="11212069"/>
    <w:rsid w:val="11AA7A36"/>
    <w:rsid w:val="11C6520F"/>
    <w:rsid w:val="12085E0C"/>
    <w:rsid w:val="12480ED0"/>
    <w:rsid w:val="127F6428"/>
    <w:rsid w:val="12D5149D"/>
    <w:rsid w:val="13975DAD"/>
    <w:rsid w:val="13F51066"/>
    <w:rsid w:val="146739B1"/>
    <w:rsid w:val="155A3D9A"/>
    <w:rsid w:val="1627032C"/>
    <w:rsid w:val="17190F82"/>
    <w:rsid w:val="17DD5530"/>
    <w:rsid w:val="17FD7421"/>
    <w:rsid w:val="18721C60"/>
    <w:rsid w:val="18F74852"/>
    <w:rsid w:val="19282742"/>
    <w:rsid w:val="19371046"/>
    <w:rsid w:val="195B5857"/>
    <w:rsid w:val="19A61429"/>
    <w:rsid w:val="19AC564E"/>
    <w:rsid w:val="1A350C29"/>
    <w:rsid w:val="1A557104"/>
    <w:rsid w:val="1A775ED8"/>
    <w:rsid w:val="1C6E34F6"/>
    <w:rsid w:val="1D2E26BE"/>
    <w:rsid w:val="1D8A790E"/>
    <w:rsid w:val="1DB02050"/>
    <w:rsid w:val="1E5A1E5C"/>
    <w:rsid w:val="1EE317D6"/>
    <w:rsid w:val="1EF16A59"/>
    <w:rsid w:val="1F5610AD"/>
    <w:rsid w:val="1F706B04"/>
    <w:rsid w:val="20867F7A"/>
    <w:rsid w:val="21B25DE7"/>
    <w:rsid w:val="223256A2"/>
    <w:rsid w:val="22494804"/>
    <w:rsid w:val="23C86F8E"/>
    <w:rsid w:val="24973F25"/>
    <w:rsid w:val="24EC39FF"/>
    <w:rsid w:val="24F878F5"/>
    <w:rsid w:val="24FC383F"/>
    <w:rsid w:val="250A783B"/>
    <w:rsid w:val="25A72196"/>
    <w:rsid w:val="25B91B21"/>
    <w:rsid w:val="265C1AFE"/>
    <w:rsid w:val="27151B6E"/>
    <w:rsid w:val="27265FD5"/>
    <w:rsid w:val="2785375F"/>
    <w:rsid w:val="27DA5616"/>
    <w:rsid w:val="285357ED"/>
    <w:rsid w:val="28BA5DD6"/>
    <w:rsid w:val="28CE0386"/>
    <w:rsid w:val="28FD2473"/>
    <w:rsid w:val="2A7E2710"/>
    <w:rsid w:val="2A7F12A8"/>
    <w:rsid w:val="2A8525EF"/>
    <w:rsid w:val="2AFE4F49"/>
    <w:rsid w:val="2B5D3CED"/>
    <w:rsid w:val="2B9C4212"/>
    <w:rsid w:val="2CCD28E0"/>
    <w:rsid w:val="2CE929AC"/>
    <w:rsid w:val="2D4A547C"/>
    <w:rsid w:val="2D6D205D"/>
    <w:rsid w:val="2EB85EC4"/>
    <w:rsid w:val="2F2D5004"/>
    <w:rsid w:val="2F381AF7"/>
    <w:rsid w:val="2FDD5108"/>
    <w:rsid w:val="3044542F"/>
    <w:rsid w:val="30C0008F"/>
    <w:rsid w:val="32972EAE"/>
    <w:rsid w:val="32B108C7"/>
    <w:rsid w:val="32CF4AAC"/>
    <w:rsid w:val="347126BD"/>
    <w:rsid w:val="34C84B14"/>
    <w:rsid w:val="34D06994"/>
    <w:rsid w:val="357B0D9F"/>
    <w:rsid w:val="36E14331"/>
    <w:rsid w:val="37594CDC"/>
    <w:rsid w:val="38147A4D"/>
    <w:rsid w:val="38640C49"/>
    <w:rsid w:val="389662BB"/>
    <w:rsid w:val="38CF6463"/>
    <w:rsid w:val="39813319"/>
    <w:rsid w:val="39FF5D4F"/>
    <w:rsid w:val="3A994AD9"/>
    <w:rsid w:val="3B8F5969"/>
    <w:rsid w:val="3C7A6932"/>
    <w:rsid w:val="3CEA6FDB"/>
    <w:rsid w:val="3D7974E0"/>
    <w:rsid w:val="3D9D5C8A"/>
    <w:rsid w:val="3DB31E6C"/>
    <w:rsid w:val="3DC348D3"/>
    <w:rsid w:val="3E042DBB"/>
    <w:rsid w:val="3E4B52F8"/>
    <w:rsid w:val="3EEC62B9"/>
    <w:rsid w:val="3EF57BFB"/>
    <w:rsid w:val="3F844AE4"/>
    <w:rsid w:val="400D7C69"/>
    <w:rsid w:val="40343817"/>
    <w:rsid w:val="40AC5700"/>
    <w:rsid w:val="40C53503"/>
    <w:rsid w:val="4106638C"/>
    <w:rsid w:val="41AB4BE2"/>
    <w:rsid w:val="41ED29EF"/>
    <w:rsid w:val="41EE77AA"/>
    <w:rsid w:val="42880293"/>
    <w:rsid w:val="428F41D6"/>
    <w:rsid w:val="429F402B"/>
    <w:rsid w:val="434F4197"/>
    <w:rsid w:val="43AD759B"/>
    <w:rsid w:val="43CB0083"/>
    <w:rsid w:val="444867B4"/>
    <w:rsid w:val="448819D6"/>
    <w:rsid w:val="45771C96"/>
    <w:rsid w:val="45D92F98"/>
    <w:rsid w:val="45E82C59"/>
    <w:rsid w:val="4654534C"/>
    <w:rsid w:val="465C5B8C"/>
    <w:rsid w:val="46790F2D"/>
    <w:rsid w:val="467E3077"/>
    <w:rsid w:val="46F125AA"/>
    <w:rsid w:val="47322E0D"/>
    <w:rsid w:val="483561A9"/>
    <w:rsid w:val="48544BCC"/>
    <w:rsid w:val="48BB28B4"/>
    <w:rsid w:val="49B04350"/>
    <w:rsid w:val="49B34B3E"/>
    <w:rsid w:val="4A9D40B4"/>
    <w:rsid w:val="4A9E737F"/>
    <w:rsid w:val="4B464DE6"/>
    <w:rsid w:val="4B9231E4"/>
    <w:rsid w:val="4BEC3AF0"/>
    <w:rsid w:val="4C44757E"/>
    <w:rsid w:val="4C5317D4"/>
    <w:rsid w:val="4C5F5AAC"/>
    <w:rsid w:val="4C79268B"/>
    <w:rsid w:val="4CE5740A"/>
    <w:rsid w:val="4D92422E"/>
    <w:rsid w:val="4DED65E5"/>
    <w:rsid w:val="4E1E52D6"/>
    <w:rsid w:val="4E6552EA"/>
    <w:rsid w:val="4F404217"/>
    <w:rsid w:val="4F483EE5"/>
    <w:rsid w:val="4F741E6D"/>
    <w:rsid w:val="4F7C3B09"/>
    <w:rsid w:val="50732206"/>
    <w:rsid w:val="50C87EA5"/>
    <w:rsid w:val="520332E6"/>
    <w:rsid w:val="52070EA9"/>
    <w:rsid w:val="520F65B1"/>
    <w:rsid w:val="526E4AEB"/>
    <w:rsid w:val="527C11B4"/>
    <w:rsid w:val="530F6215"/>
    <w:rsid w:val="533F6A5F"/>
    <w:rsid w:val="5377680E"/>
    <w:rsid w:val="53807830"/>
    <w:rsid w:val="53C963A7"/>
    <w:rsid w:val="53F7684D"/>
    <w:rsid w:val="54DA0845"/>
    <w:rsid w:val="556B5A06"/>
    <w:rsid w:val="55BA1558"/>
    <w:rsid w:val="55C96CA0"/>
    <w:rsid w:val="55DC3B70"/>
    <w:rsid w:val="55EC25F1"/>
    <w:rsid w:val="55F24036"/>
    <w:rsid w:val="56837A07"/>
    <w:rsid w:val="570C7FDB"/>
    <w:rsid w:val="5752270A"/>
    <w:rsid w:val="577E0850"/>
    <w:rsid w:val="582254A9"/>
    <w:rsid w:val="589A643B"/>
    <w:rsid w:val="58E8315F"/>
    <w:rsid w:val="59BB60E5"/>
    <w:rsid w:val="5A1B5E9E"/>
    <w:rsid w:val="5A4E52F0"/>
    <w:rsid w:val="5ADB58AE"/>
    <w:rsid w:val="5B0811F1"/>
    <w:rsid w:val="5BBD7B5D"/>
    <w:rsid w:val="5C5E7177"/>
    <w:rsid w:val="5CCE734D"/>
    <w:rsid w:val="5D745C5D"/>
    <w:rsid w:val="5E4D791C"/>
    <w:rsid w:val="5E916682"/>
    <w:rsid w:val="5EA1377E"/>
    <w:rsid w:val="5ED14BDC"/>
    <w:rsid w:val="5EF331E0"/>
    <w:rsid w:val="5F3C2C0E"/>
    <w:rsid w:val="5F424080"/>
    <w:rsid w:val="5FB42DF7"/>
    <w:rsid w:val="5FCE3F17"/>
    <w:rsid w:val="600241BE"/>
    <w:rsid w:val="609A54D2"/>
    <w:rsid w:val="6304305D"/>
    <w:rsid w:val="63053335"/>
    <w:rsid w:val="63D46AFE"/>
    <w:rsid w:val="65372D02"/>
    <w:rsid w:val="65D22028"/>
    <w:rsid w:val="661A3FCF"/>
    <w:rsid w:val="66C06702"/>
    <w:rsid w:val="66D91652"/>
    <w:rsid w:val="67314892"/>
    <w:rsid w:val="673E3751"/>
    <w:rsid w:val="677023C1"/>
    <w:rsid w:val="679E1E0D"/>
    <w:rsid w:val="68161691"/>
    <w:rsid w:val="68D576AA"/>
    <w:rsid w:val="690A091D"/>
    <w:rsid w:val="69867F3B"/>
    <w:rsid w:val="6A3C5231"/>
    <w:rsid w:val="6A4A67D0"/>
    <w:rsid w:val="6BD02131"/>
    <w:rsid w:val="6BF32F7D"/>
    <w:rsid w:val="6C0058E9"/>
    <w:rsid w:val="6C5F0004"/>
    <w:rsid w:val="6CE716E7"/>
    <w:rsid w:val="6D0024E1"/>
    <w:rsid w:val="6E3B184F"/>
    <w:rsid w:val="6F1E4A8A"/>
    <w:rsid w:val="6FE500FD"/>
    <w:rsid w:val="702F1E14"/>
    <w:rsid w:val="70341AC3"/>
    <w:rsid w:val="70560110"/>
    <w:rsid w:val="712B3B49"/>
    <w:rsid w:val="713D74BB"/>
    <w:rsid w:val="71515B52"/>
    <w:rsid w:val="715A752A"/>
    <w:rsid w:val="72107811"/>
    <w:rsid w:val="72937E6B"/>
    <w:rsid w:val="72F37082"/>
    <w:rsid w:val="738C0DC7"/>
    <w:rsid w:val="73BD6391"/>
    <w:rsid w:val="73E35864"/>
    <w:rsid w:val="7480294D"/>
    <w:rsid w:val="74A11676"/>
    <w:rsid w:val="74B60F8B"/>
    <w:rsid w:val="75595BE3"/>
    <w:rsid w:val="75630D2B"/>
    <w:rsid w:val="75645601"/>
    <w:rsid w:val="75FB2ADA"/>
    <w:rsid w:val="774065D6"/>
    <w:rsid w:val="77996042"/>
    <w:rsid w:val="782C2279"/>
    <w:rsid w:val="78F804DA"/>
    <w:rsid w:val="798568B9"/>
    <w:rsid w:val="7A5A0736"/>
    <w:rsid w:val="7A780B52"/>
    <w:rsid w:val="7AB117AF"/>
    <w:rsid w:val="7AF46D8C"/>
    <w:rsid w:val="7B6F005A"/>
    <w:rsid w:val="7CBC32D8"/>
    <w:rsid w:val="7D4E0E3D"/>
    <w:rsid w:val="7D5D2075"/>
    <w:rsid w:val="7E6A16AE"/>
    <w:rsid w:val="7EF17412"/>
    <w:rsid w:val="7F166A75"/>
    <w:rsid w:val="7F5E7F93"/>
    <w:rsid w:val="7FF20B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0" w:semiHidden="0" w:name="Body Text" w:locked="1"/>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semiHidden="0" w:name="Balloon Text"/>
    <w:lsdException w:unhideWhenUsed="0" w:uiPriority="99" w:semiHidden="0"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Calibri" w:hAnsi="Calibri" w:eastAsia="仿宋_GB2312" w:cs="Times New Roman"/>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qFormat/>
    <w:uiPriority w:val="99"/>
    <w:rPr>
      <w:sz w:val="18"/>
      <w:szCs w:val="18"/>
    </w:rPr>
  </w:style>
  <w:style w:type="paragraph" w:styleId="4">
    <w:name w:val="footer"/>
    <w:basedOn w:val="1"/>
    <w:link w:val="13"/>
    <w:uiPriority w:val="99"/>
    <w:pPr>
      <w:tabs>
        <w:tab w:val="center" w:pos="4153"/>
        <w:tab w:val="right" w:pos="8306"/>
      </w:tabs>
      <w:snapToGrid w:val="0"/>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val="0"/>
      <w:ind w:firstLine="0" w:firstLineChars="0"/>
    </w:pPr>
    <w:rPr>
      <w:rFonts w:ascii="Times New Roman" w:hAnsi="Times New Roman" w:eastAsia="宋体"/>
      <w:sz w:val="24"/>
      <w:szCs w:val="24"/>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99"/>
    <w:rPr>
      <w:rFonts w:cs="Times New Roman"/>
    </w:rPr>
  </w:style>
  <w:style w:type="character" w:customStyle="1" w:styleId="11">
    <w:name w:val="日期 字符"/>
    <w:basedOn w:val="9"/>
    <w:link w:val="2"/>
    <w:semiHidden/>
    <w:qFormat/>
    <w:locked/>
    <w:uiPriority w:val="99"/>
    <w:rPr>
      <w:rFonts w:eastAsia="仿宋_GB2312" w:cs="Times New Roman"/>
      <w:kern w:val="0"/>
      <w:sz w:val="32"/>
      <w:szCs w:val="32"/>
    </w:rPr>
  </w:style>
  <w:style w:type="character" w:customStyle="1" w:styleId="12">
    <w:name w:val="批注框文本 字符"/>
    <w:basedOn w:val="9"/>
    <w:link w:val="3"/>
    <w:semiHidden/>
    <w:locked/>
    <w:uiPriority w:val="99"/>
    <w:rPr>
      <w:rFonts w:eastAsia="仿宋_GB2312" w:cs="Times New Roman"/>
      <w:kern w:val="0"/>
      <w:sz w:val="18"/>
      <w:szCs w:val="18"/>
    </w:rPr>
  </w:style>
  <w:style w:type="character" w:customStyle="1" w:styleId="13">
    <w:name w:val="页脚 字符"/>
    <w:basedOn w:val="9"/>
    <w:link w:val="4"/>
    <w:locked/>
    <w:uiPriority w:val="99"/>
    <w:rPr>
      <w:rFonts w:eastAsia="仿宋_GB2312" w:cs="Times New Roman"/>
      <w:kern w:val="0"/>
      <w:sz w:val="18"/>
      <w:szCs w:val="18"/>
    </w:rPr>
  </w:style>
  <w:style w:type="character" w:customStyle="1" w:styleId="14">
    <w:name w:val="页眉 字符"/>
    <w:basedOn w:val="9"/>
    <w:link w:val="5"/>
    <w:locked/>
    <w:uiPriority w:val="99"/>
    <w:rPr>
      <w:rFonts w:eastAsia="仿宋_GB2312" w:cs="Times New Roman"/>
      <w:kern w:val="0"/>
      <w:sz w:val="18"/>
      <w:szCs w:val="18"/>
    </w:rPr>
  </w:style>
  <w:style w:type="paragraph" w:customStyle="1" w:styleId="15">
    <w:name w:val="列出段落1"/>
    <w:basedOn w:val="1"/>
    <w:uiPriority w:val="99"/>
    <w:pPr>
      <w:ind w:firstLine="420"/>
    </w:pPr>
  </w:style>
  <w:style w:type="paragraph" w:customStyle="1" w:styleId="16">
    <w:name w:val="p15"/>
    <w:basedOn w:val="1"/>
    <w:uiPriority w:val="99"/>
    <w:pPr>
      <w:ind w:firstLine="0" w:firstLineChars="0"/>
      <w:jc w:val="both"/>
    </w:pPr>
    <w:rPr>
      <w:rFonts w:ascii="Times New Roman" w:hAnsi="Times New Roman" w:eastAsia="宋体"/>
      <w:sz w:val="21"/>
      <w:szCs w:val="21"/>
    </w:rPr>
  </w:style>
  <w:style w:type="paragraph" w:customStyle="1" w:styleId="17">
    <w:name w:val="p0"/>
    <w:basedOn w:val="1"/>
    <w:uiPriority w:val="99"/>
    <w:rPr>
      <w:szCs w:val="21"/>
    </w:rPr>
  </w:style>
  <w:style w:type="paragraph" w:styleId="18">
    <w:name w:val="List Paragraph"/>
    <w:basedOn w:val="1"/>
    <w:qFormat/>
    <w:uiPriority w:val="99"/>
    <w:pPr>
      <w:spacing w:before="1"/>
      <w:ind w:left="218" w:right="252" w:firstLine="599"/>
      <w:jc w:val="both"/>
    </w:pPr>
    <w:rPr>
      <w:rFonts w:ascii="仿宋_GB2312" w:hAnsi="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EF941-D289-4051-BBC0-D79396FF06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2293</Words>
  <Characters>2307</Characters>
  <Lines>16</Lines>
  <Paragraphs>4</Paragraphs>
  <TotalTime>89</TotalTime>
  <ScaleCrop>false</ScaleCrop>
  <LinksUpToDate>false</LinksUpToDate>
  <CharactersWithSpaces>2343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2021-01-14T02:38:00Z</dcterms:created>
  <dc:creator>sony</dc:creator>
  <cp:lastModifiedBy>.墨.</cp:lastModifiedBy>
  <cp:lastPrinted>2021-01-15T03:55:00Z</cp:lastPrinted>
  <dcterms:modified xsi:type="dcterms:W3CDTF">2024-10-23T01:42:38Z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8C2DA8FB34434E84828CE34A1CA78E9B_12</vt:lpwstr>
  </property>
</Properties>
</file>